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F106" w14:textId="77777777" w:rsidR="007F3FFA" w:rsidRDefault="00000000">
      <w:pPr>
        <w:autoSpaceDE w:val="0"/>
        <w:spacing w:line="360" w:lineRule="exact"/>
        <w:ind w:left="284" w:right="-1"/>
        <w:jc w:val="both"/>
        <w:rPr>
          <w:rFonts w:ascii="Times New Roman" w:eastAsia="標楷體" w:hAnsi="Times New Roman"/>
          <w:w w:val="80"/>
          <w:sz w:val="28"/>
        </w:rPr>
      </w:pPr>
      <w:r>
        <w:rPr>
          <w:rFonts w:ascii="Times New Roman" w:eastAsia="標楷體" w:hAnsi="Times New Roman"/>
          <w:w w:val="80"/>
          <w:sz w:val="28"/>
        </w:rPr>
        <w:t>茲保證本公司經銷</w:t>
      </w:r>
      <w:r>
        <w:rPr>
          <w:rFonts w:ascii="Times New Roman" w:eastAsia="標楷體" w:hAnsi="Times New Roman"/>
          <w:w w:val="80"/>
          <w:sz w:val="28"/>
        </w:rPr>
        <w:t>(</w:t>
      </w:r>
      <w:r>
        <w:rPr>
          <w:rFonts w:ascii="Times New Roman" w:eastAsia="標楷體" w:hAnsi="Times New Roman"/>
          <w:w w:val="80"/>
          <w:sz w:val="28"/>
        </w:rPr>
        <w:t>或生產</w:t>
      </w:r>
      <w:r>
        <w:rPr>
          <w:rFonts w:ascii="Times New Roman" w:eastAsia="標楷體" w:hAnsi="Times New Roman"/>
          <w:w w:val="80"/>
          <w:sz w:val="28"/>
        </w:rPr>
        <w:t>)</w:t>
      </w:r>
      <w:r>
        <w:rPr>
          <w:rFonts w:ascii="Times New Roman" w:eastAsia="標楷體" w:hAnsi="Times New Roman"/>
          <w:w w:val="80"/>
          <w:sz w:val="28"/>
        </w:rPr>
        <w:t>下列電信終端產品設備，</w:t>
      </w:r>
    </w:p>
    <w:tbl>
      <w:tblPr>
        <w:tblW w:w="10632" w:type="dxa"/>
        <w:tblInd w:w="-5" w:type="dxa"/>
        <w:tblCellMar>
          <w:left w:w="10" w:type="dxa"/>
          <w:right w:w="10" w:type="dxa"/>
        </w:tblCellMar>
        <w:tblLook w:val="0000" w:firstRow="0" w:lastRow="0" w:firstColumn="0" w:lastColumn="0" w:noHBand="0" w:noVBand="0"/>
      </w:tblPr>
      <w:tblGrid>
        <w:gridCol w:w="2959"/>
        <w:gridCol w:w="2250"/>
        <w:gridCol w:w="5423"/>
      </w:tblGrid>
      <w:tr w:rsidR="007F3FFA" w14:paraId="6F3E7E98" w14:textId="77777777">
        <w:tblPrEx>
          <w:tblCellMar>
            <w:top w:w="0" w:type="dxa"/>
            <w:bottom w:w="0" w:type="dxa"/>
          </w:tblCellMar>
        </w:tblPrEx>
        <w:trPr>
          <w:trHeight w:val="450"/>
        </w:trPr>
        <w:tc>
          <w:tcPr>
            <w:tcW w:w="2959"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14:paraId="6AA744D9" w14:textId="77777777" w:rsidR="007F3FFA" w:rsidRDefault="00000000">
            <w:pPr>
              <w:autoSpaceDE w:val="0"/>
              <w:spacing w:line="360" w:lineRule="exact"/>
              <w:ind w:left="284" w:right="-1"/>
              <w:jc w:val="both"/>
              <w:rPr>
                <w:rFonts w:ascii="Times New Roman" w:eastAsia="標楷體" w:hAnsi="Times New Roman"/>
                <w:w w:val="80"/>
                <w:sz w:val="28"/>
              </w:rPr>
            </w:pPr>
            <w:r>
              <w:rPr>
                <w:rFonts w:ascii="Times New Roman" w:eastAsia="標楷體" w:hAnsi="Times New Roman"/>
                <w:w w:val="80"/>
                <w:sz w:val="28"/>
              </w:rPr>
              <w:t>廠牌</w:t>
            </w:r>
          </w:p>
        </w:tc>
        <w:tc>
          <w:tcPr>
            <w:tcW w:w="2250"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14:paraId="2E093896" w14:textId="77777777" w:rsidR="007F3FFA" w:rsidRDefault="00000000">
            <w:pPr>
              <w:autoSpaceDE w:val="0"/>
              <w:spacing w:line="360" w:lineRule="exact"/>
              <w:ind w:left="284" w:right="-1"/>
              <w:jc w:val="both"/>
              <w:rPr>
                <w:rFonts w:ascii="Times New Roman" w:eastAsia="標楷體" w:hAnsi="Times New Roman"/>
                <w:w w:val="80"/>
                <w:sz w:val="28"/>
              </w:rPr>
            </w:pPr>
            <w:r>
              <w:rPr>
                <w:rFonts w:ascii="Times New Roman" w:eastAsia="標楷體" w:hAnsi="Times New Roman"/>
                <w:w w:val="80"/>
                <w:sz w:val="28"/>
              </w:rPr>
              <w:t>型號</w:t>
            </w:r>
          </w:p>
        </w:tc>
        <w:tc>
          <w:tcPr>
            <w:tcW w:w="5423"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14:paraId="32CCA0B8" w14:textId="77777777" w:rsidR="007F3FFA" w:rsidRDefault="00000000">
            <w:pPr>
              <w:autoSpaceDE w:val="0"/>
              <w:spacing w:line="360" w:lineRule="exact"/>
              <w:ind w:left="284" w:right="-1"/>
              <w:jc w:val="both"/>
              <w:rPr>
                <w:rFonts w:ascii="Times New Roman" w:eastAsia="標楷體" w:hAnsi="Times New Roman"/>
                <w:w w:val="80"/>
                <w:sz w:val="28"/>
              </w:rPr>
            </w:pPr>
            <w:r>
              <w:rPr>
                <w:rFonts w:ascii="Times New Roman" w:eastAsia="標楷體" w:hAnsi="Times New Roman"/>
                <w:w w:val="80"/>
                <w:sz w:val="28"/>
              </w:rPr>
              <w:t>產品名稱</w:t>
            </w:r>
          </w:p>
        </w:tc>
      </w:tr>
      <w:tr w:rsidR="007F3FFA" w14:paraId="70CE3CFA" w14:textId="77777777">
        <w:tblPrEx>
          <w:tblCellMar>
            <w:top w:w="0" w:type="dxa"/>
            <w:bottom w:w="0" w:type="dxa"/>
          </w:tblCellMar>
        </w:tblPrEx>
        <w:trPr>
          <w:trHeight w:val="450"/>
        </w:trPr>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B7F8F" w14:textId="77777777" w:rsidR="007F3FFA" w:rsidRDefault="00000000">
            <w:pPr>
              <w:autoSpaceDE w:val="0"/>
              <w:spacing w:line="360" w:lineRule="exact"/>
              <w:ind w:left="284" w:right="-1"/>
              <w:jc w:val="both"/>
              <w:rPr>
                <w:rFonts w:ascii="Times New Roman" w:eastAsia="標楷體" w:hAnsi="Times New Roman"/>
                <w:w w:val="80"/>
                <w:sz w:val="28"/>
                <w:shd w:val="clear" w:color="auto" w:fill="FFFF00"/>
              </w:rPr>
            </w:pPr>
            <w:r>
              <w:rPr>
                <w:rFonts w:ascii="Times New Roman" w:eastAsia="標楷體" w:hAnsi="Times New Roman"/>
                <w:w w:val="80"/>
                <w:sz w:val="28"/>
                <w:shd w:val="clear" w:color="auto" w:fill="FFFF00"/>
              </w:rPr>
              <w:t>XXXXXXXX</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971FB" w14:textId="77777777" w:rsidR="007F3FFA" w:rsidRDefault="00000000">
            <w:pPr>
              <w:autoSpaceDE w:val="0"/>
              <w:spacing w:line="360" w:lineRule="exact"/>
              <w:ind w:left="284" w:right="-1"/>
              <w:jc w:val="both"/>
              <w:rPr>
                <w:rFonts w:ascii="Times New Roman" w:eastAsia="標楷體" w:hAnsi="Times New Roman"/>
                <w:w w:val="80"/>
                <w:sz w:val="28"/>
                <w:shd w:val="clear" w:color="auto" w:fill="FFFF00"/>
              </w:rPr>
            </w:pPr>
            <w:r>
              <w:rPr>
                <w:rFonts w:ascii="Times New Roman" w:eastAsia="標楷體" w:hAnsi="Times New Roman"/>
                <w:w w:val="80"/>
                <w:sz w:val="28"/>
                <w:shd w:val="clear" w:color="auto" w:fill="FFFF00"/>
              </w:rPr>
              <w:t>XXXXXX</w:t>
            </w:r>
          </w:p>
        </w:tc>
        <w:tc>
          <w:tcPr>
            <w:tcW w:w="5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68CA4" w14:textId="77777777" w:rsidR="007F3FFA" w:rsidRDefault="00000000">
            <w:pPr>
              <w:autoSpaceDE w:val="0"/>
              <w:spacing w:line="360" w:lineRule="exact"/>
              <w:ind w:left="284" w:right="-1"/>
              <w:jc w:val="both"/>
              <w:rPr>
                <w:rFonts w:ascii="Times New Roman" w:eastAsia="標楷體" w:hAnsi="Times New Roman"/>
                <w:w w:val="80"/>
                <w:sz w:val="28"/>
                <w:shd w:val="clear" w:color="auto" w:fill="FFFF00"/>
              </w:rPr>
            </w:pPr>
            <w:r>
              <w:rPr>
                <w:rFonts w:ascii="Times New Roman" w:eastAsia="標楷體" w:hAnsi="Times New Roman"/>
                <w:w w:val="80"/>
                <w:sz w:val="28"/>
                <w:shd w:val="clear" w:color="auto" w:fill="FFFF00"/>
              </w:rPr>
              <w:t>XXXXXXXXXXXX</w:t>
            </w:r>
          </w:p>
        </w:tc>
      </w:tr>
      <w:tr w:rsidR="007F3FFA" w14:paraId="56DCA4CD" w14:textId="77777777">
        <w:tblPrEx>
          <w:tblCellMar>
            <w:top w:w="0" w:type="dxa"/>
            <w:bottom w:w="0" w:type="dxa"/>
          </w:tblCellMar>
        </w:tblPrEx>
        <w:trPr>
          <w:trHeight w:val="450"/>
        </w:trPr>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63503" w14:textId="77777777" w:rsidR="007F3FFA" w:rsidRDefault="007F3FFA">
            <w:pPr>
              <w:autoSpaceDE w:val="0"/>
              <w:spacing w:line="360" w:lineRule="exact"/>
              <w:ind w:left="284" w:right="-1"/>
              <w:jc w:val="both"/>
              <w:rPr>
                <w:rFonts w:ascii="Times New Roman" w:eastAsia="標楷體" w:hAnsi="Times New Roman"/>
                <w:w w:val="80"/>
                <w:sz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C870A" w14:textId="77777777" w:rsidR="007F3FFA" w:rsidRDefault="007F3FFA">
            <w:pPr>
              <w:autoSpaceDE w:val="0"/>
              <w:spacing w:line="360" w:lineRule="exact"/>
              <w:ind w:left="284" w:right="-1"/>
              <w:jc w:val="both"/>
              <w:rPr>
                <w:rFonts w:ascii="Times New Roman" w:eastAsia="標楷體" w:hAnsi="Times New Roman"/>
                <w:w w:val="80"/>
                <w:sz w:val="28"/>
              </w:rPr>
            </w:pPr>
          </w:p>
        </w:tc>
        <w:tc>
          <w:tcPr>
            <w:tcW w:w="5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54109" w14:textId="77777777" w:rsidR="007F3FFA" w:rsidRDefault="007F3FFA">
            <w:pPr>
              <w:autoSpaceDE w:val="0"/>
              <w:spacing w:line="360" w:lineRule="exact"/>
              <w:ind w:left="284" w:right="-1"/>
              <w:jc w:val="both"/>
              <w:rPr>
                <w:rFonts w:ascii="Times New Roman" w:eastAsia="標楷體" w:hAnsi="Times New Roman"/>
                <w:w w:val="80"/>
                <w:sz w:val="28"/>
              </w:rPr>
            </w:pPr>
          </w:p>
        </w:tc>
      </w:tr>
    </w:tbl>
    <w:p w14:paraId="69AB1E98" w14:textId="77777777" w:rsidR="007F3FFA" w:rsidRDefault="00000000">
      <w:pPr>
        <w:autoSpaceDE w:val="0"/>
        <w:spacing w:line="360" w:lineRule="exact"/>
        <w:ind w:left="284" w:right="-1"/>
        <w:jc w:val="both"/>
        <w:rPr>
          <w:rFonts w:ascii="Times New Roman" w:eastAsia="標楷體" w:hAnsi="Times New Roman"/>
          <w:w w:val="80"/>
          <w:sz w:val="28"/>
        </w:rPr>
      </w:pPr>
      <w:r>
        <w:rPr>
          <w:rFonts w:ascii="Times New Roman" w:eastAsia="標楷體" w:hAnsi="Times New Roman"/>
          <w:w w:val="80"/>
          <w:sz w:val="28"/>
        </w:rPr>
        <w:t>於上市販售時將遵照以下規範</w:t>
      </w:r>
      <w:r>
        <w:rPr>
          <w:rFonts w:ascii="Times New Roman" w:eastAsia="標楷體" w:hAnsi="Times New Roman"/>
          <w:w w:val="80"/>
          <w:sz w:val="28"/>
        </w:rPr>
        <w:t>:</w:t>
      </w:r>
    </w:p>
    <w:p w14:paraId="64C18A0E" w14:textId="77777777" w:rsidR="007F3FFA" w:rsidRDefault="00000000">
      <w:pPr>
        <w:pStyle w:val="a8"/>
        <w:numPr>
          <w:ilvl w:val="0"/>
          <w:numId w:val="1"/>
        </w:numPr>
        <w:snapToGrid w:val="0"/>
        <w:spacing w:line="320" w:lineRule="exact"/>
        <w:ind w:left="284"/>
      </w:pPr>
      <w:r>
        <w:rPr>
          <w:rFonts w:eastAsia="標楷體"/>
          <w:w w:val="80"/>
          <w:sz w:val="24"/>
          <w:szCs w:val="24"/>
        </w:rPr>
        <w:t>於審查合格上市販售本</w:t>
      </w:r>
      <w:r>
        <w:rPr>
          <w:rFonts w:eastAsia="標楷體"/>
          <w:w w:val="80"/>
          <w:sz w:val="24"/>
          <w:szCs w:val="24"/>
        </w:rPr>
        <w:t>LTE</w:t>
      </w:r>
      <w:r>
        <w:rPr>
          <w:rFonts w:eastAsia="標楷體"/>
          <w:w w:val="80"/>
          <w:sz w:val="24"/>
          <w:szCs w:val="24"/>
        </w:rPr>
        <w:t>電信終端設備產品時，在『廣告文宣』與『中文使用說明書』及『設備外包裝』充分揭露該電信終端設備支援的國內行動寬頻下列頻段資訊</w:t>
      </w:r>
      <w:r>
        <w:rPr>
          <w:rFonts w:ascii="標楷體" w:eastAsia="標楷體" w:hAnsi="標楷體"/>
          <w:w w:val="80"/>
          <w:sz w:val="24"/>
          <w:szCs w:val="24"/>
        </w:rPr>
        <w:t>□</w:t>
      </w:r>
      <w:r>
        <w:rPr>
          <w:rFonts w:eastAsia="標楷體"/>
          <w:w w:val="80"/>
          <w:sz w:val="24"/>
          <w:szCs w:val="24"/>
        </w:rPr>
        <w:t xml:space="preserve">FDD 700MHz </w:t>
      </w:r>
      <w:r>
        <w:rPr>
          <w:rFonts w:ascii="標楷體" w:eastAsia="標楷體" w:hAnsi="標楷體"/>
          <w:w w:val="80"/>
          <w:sz w:val="24"/>
          <w:szCs w:val="24"/>
        </w:rPr>
        <w:t>□</w:t>
      </w:r>
      <w:r>
        <w:rPr>
          <w:rFonts w:eastAsia="標楷體"/>
          <w:w w:val="80"/>
          <w:sz w:val="24"/>
          <w:szCs w:val="24"/>
        </w:rPr>
        <w:t xml:space="preserve">900MHz </w:t>
      </w:r>
      <w:r>
        <w:rPr>
          <w:rFonts w:ascii="標楷體" w:eastAsia="標楷體" w:hAnsi="標楷體"/>
          <w:w w:val="80"/>
          <w:sz w:val="24"/>
          <w:szCs w:val="24"/>
        </w:rPr>
        <w:t>□</w:t>
      </w:r>
      <w:r>
        <w:rPr>
          <w:rFonts w:eastAsia="標楷體"/>
          <w:w w:val="80"/>
          <w:sz w:val="24"/>
          <w:szCs w:val="24"/>
        </w:rPr>
        <w:t xml:space="preserve">1800MHz □2100MHz </w:t>
      </w:r>
      <w:r>
        <w:rPr>
          <w:rFonts w:ascii="標楷體" w:eastAsia="標楷體" w:hAnsi="標楷體"/>
          <w:w w:val="80"/>
          <w:sz w:val="24"/>
          <w:szCs w:val="24"/>
        </w:rPr>
        <w:t>□</w:t>
      </w:r>
      <w:r>
        <w:rPr>
          <w:rFonts w:eastAsia="標楷體"/>
          <w:w w:val="80"/>
          <w:sz w:val="24"/>
          <w:szCs w:val="24"/>
        </w:rPr>
        <w:t xml:space="preserve">2600MHz </w:t>
      </w:r>
      <w:r>
        <w:rPr>
          <w:rFonts w:ascii="標楷體" w:eastAsia="標楷體" w:hAnsi="標楷體"/>
          <w:w w:val="80"/>
          <w:sz w:val="24"/>
          <w:szCs w:val="24"/>
        </w:rPr>
        <w:t>□</w:t>
      </w:r>
      <w:r>
        <w:rPr>
          <w:rFonts w:eastAsia="標楷體"/>
          <w:w w:val="80"/>
          <w:sz w:val="24"/>
          <w:szCs w:val="24"/>
        </w:rPr>
        <w:t>TDD 2570-2620/2500 -2690MHz</w:t>
      </w:r>
      <w:r>
        <w:rPr>
          <w:rFonts w:eastAsia="標楷體"/>
          <w:w w:val="80"/>
          <w:sz w:val="24"/>
          <w:szCs w:val="24"/>
        </w:rPr>
        <w:t>，為方便消費者選購時容易辨識，以充分揭露資訊。</w:t>
      </w:r>
    </w:p>
    <w:p w14:paraId="6FDA16F2" w14:textId="77777777" w:rsidR="007F3FFA" w:rsidRDefault="00000000">
      <w:pPr>
        <w:pStyle w:val="a8"/>
        <w:numPr>
          <w:ilvl w:val="0"/>
          <w:numId w:val="1"/>
        </w:numPr>
        <w:snapToGrid w:val="0"/>
        <w:spacing w:line="320" w:lineRule="exact"/>
        <w:ind w:left="284"/>
      </w:pPr>
      <w:r>
        <w:rPr>
          <w:rFonts w:ascii="標楷體" w:eastAsia="標楷體" w:hAnsi="標楷體"/>
          <w:w w:val="80"/>
          <w:sz w:val="24"/>
          <w:szCs w:val="24"/>
        </w:rPr>
        <w:t>□</w:t>
      </w:r>
      <w:r>
        <w:rPr>
          <w:rFonts w:eastAsia="標楷體"/>
          <w:w w:val="80"/>
          <w:sz w:val="24"/>
          <w:szCs w:val="24"/>
        </w:rPr>
        <w:t>手機支援可擴充記憶卡的情形：</w:t>
      </w:r>
    </w:p>
    <w:p w14:paraId="1CAF3648" w14:textId="77777777" w:rsidR="007F3FFA" w:rsidRDefault="00000000">
      <w:pPr>
        <w:pStyle w:val="a8"/>
        <w:snapToGrid w:val="0"/>
        <w:spacing w:line="320" w:lineRule="exact"/>
        <w:ind w:left="284"/>
      </w:pPr>
      <w:r>
        <w:rPr>
          <w:rFonts w:eastAsia="標楷體"/>
          <w:w w:val="80"/>
          <w:sz w:val="24"/>
          <w:szCs w:val="24"/>
        </w:rPr>
        <w:t>內建主記憶體硬體容量：</w:t>
      </w:r>
      <w:r>
        <w:rPr>
          <w:rFonts w:eastAsia="標楷體"/>
          <w:w w:val="80"/>
          <w:sz w:val="24"/>
          <w:szCs w:val="24"/>
          <w:u w:val="single"/>
        </w:rPr>
        <w:tab/>
      </w:r>
      <w:r>
        <w:rPr>
          <w:rFonts w:eastAsia="標楷體"/>
          <w:w w:val="80"/>
          <w:sz w:val="24"/>
          <w:szCs w:val="24"/>
        </w:rPr>
        <w:t>GB</w:t>
      </w:r>
      <w:r>
        <w:rPr>
          <w:rFonts w:eastAsia="標楷體"/>
          <w:w w:val="80"/>
          <w:sz w:val="24"/>
          <w:szCs w:val="24"/>
        </w:rPr>
        <w:t>，使用者可使用主記憶體容量至少：</w:t>
      </w:r>
      <w:r>
        <w:rPr>
          <w:rFonts w:eastAsia="標楷體"/>
          <w:w w:val="80"/>
          <w:sz w:val="24"/>
          <w:szCs w:val="24"/>
          <w:u w:val="single"/>
        </w:rPr>
        <w:tab/>
      </w:r>
      <w:r>
        <w:rPr>
          <w:rFonts w:eastAsia="標楷體"/>
          <w:w w:val="80"/>
          <w:sz w:val="24"/>
          <w:szCs w:val="24"/>
          <w:u w:val="single"/>
        </w:rPr>
        <w:tab/>
      </w:r>
      <w:r>
        <w:rPr>
          <w:rFonts w:eastAsia="標楷體"/>
          <w:w w:val="80"/>
          <w:sz w:val="24"/>
          <w:szCs w:val="24"/>
        </w:rPr>
        <w:t>GB</w:t>
      </w:r>
      <w:r>
        <w:rPr>
          <w:rFonts w:eastAsia="標楷體"/>
          <w:w w:val="80"/>
          <w:sz w:val="24"/>
          <w:szCs w:val="24"/>
        </w:rPr>
        <w:t>，可擴充記憶卡支援：</w:t>
      </w:r>
      <w:r>
        <w:rPr>
          <w:rFonts w:eastAsia="標楷體"/>
          <w:w w:val="80"/>
          <w:sz w:val="24"/>
          <w:szCs w:val="24"/>
          <w:u w:val="single"/>
        </w:rPr>
        <w:tab/>
      </w:r>
      <w:r>
        <w:rPr>
          <w:rFonts w:eastAsia="標楷體"/>
          <w:w w:val="80"/>
          <w:sz w:val="24"/>
          <w:szCs w:val="24"/>
          <w:u w:val="single"/>
        </w:rPr>
        <w:tab/>
      </w:r>
      <w:r>
        <w:rPr>
          <w:rFonts w:eastAsia="標楷體"/>
          <w:w w:val="80"/>
          <w:sz w:val="24"/>
          <w:szCs w:val="24"/>
        </w:rPr>
        <w:t>GB</w:t>
      </w:r>
      <w:r>
        <w:rPr>
          <w:rFonts w:eastAsia="標楷體"/>
          <w:w w:val="80"/>
          <w:sz w:val="24"/>
          <w:szCs w:val="24"/>
        </w:rPr>
        <w:t>以下。</w:t>
      </w:r>
    </w:p>
    <w:p w14:paraId="08C21F15" w14:textId="77777777" w:rsidR="007F3FFA" w:rsidRDefault="00000000">
      <w:pPr>
        <w:pStyle w:val="a8"/>
        <w:snapToGrid w:val="0"/>
        <w:spacing w:line="320" w:lineRule="exact"/>
        <w:ind w:left="284"/>
      </w:pPr>
      <w:r>
        <w:rPr>
          <w:rFonts w:ascii="標楷體" w:eastAsia="標楷體" w:hAnsi="標楷體"/>
          <w:w w:val="80"/>
          <w:sz w:val="24"/>
          <w:szCs w:val="24"/>
        </w:rPr>
        <w:t>□</w:t>
      </w:r>
      <w:r>
        <w:rPr>
          <w:rFonts w:eastAsia="標楷體"/>
          <w:w w:val="80"/>
          <w:sz w:val="24"/>
          <w:szCs w:val="24"/>
        </w:rPr>
        <w:t>手機不支援擴充記憶卡的情形：</w:t>
      </w:r>
    </w:p>
    <w:p w14:paraId="1A2F2194" w14:textId="77777777" w:rsidR="007F3FFA" w:rsidRDefault="00000000">
      <w:pPr>
        <w:pStyle w:val="a8"/>
        <w:snapToGrid w:val="0"/>
        <w:spacing w:line="320" w:lineRule="exact"/>
        <w:ind w:left="284"/>
      </w:pPr>
      <w:r>
        <w:rPr>
          <w:rFonts w:eastAsia="標楷體"/>
          <w:w w:val="80"/>
          <w:sz w:val="24"/>
          <w:szCs w:val="24"/>
        </w:rPr>
        <w:t>內建主記憶體硬體容量：</w:t>
      </w:r>
      <w:r>
        <w:rPr>
          <w:rFonts w:eastAsia="標楷體"/>
          <w:w w:val="80"/>
          <w:sz w:val="24"/>
          <w:szCs w:val="24"/>
          <w:u w:val="single"/>
        </w:rPr>
        <w:tab/>
      </w:r>
      <w:r>
        <w:rPr>
          <w:rFonts w:eastAsia="標楷體"/>
          <w:w w:val="80"/>
          <w:sz w:val="24"/>
          <w:szCs w:val="24"/>
        </w:rPr>
        <w:t>GB</w:t>
      </w:r>
      <w:r>
        <w:rPr>
          <w:rFonts w:eastAsia="標楷體"/>
          <w:w w:val="80"/>
          <w:sz w:val="24"/>
          <w:szCs w:val="24"/>
        </w:rPr>
        <w:t>，使用者可使用主記憶體容量至少：</w:t>
      </w:r>
      <w:r>
        <w:rPr>
          <w:rFonts w:eastAsia="標楷體"/>
          <w:w w:val="80"/>
          <w:sz w:val="24"/>
          <w:szCs w:val="24"/>
          <w:u w:val="single"/>
        </w:rPr>
        <w:tab/>
      </w:r>
      <w:r>
        <w:rPr>
          <w:rFonts w:eastAsia="標楷體"/>
          <w:w w:val="80"/>
          <w:sz w:val="24"/>
          <w:szCs w:val="24"/>
          <w:u w:val="single"/>
        </w:rPr>
        <w:tab/>
      </w:r>
      <w:r>
        <w:rPr>
          <w:rFonts w:eastAsia="標楷體"/>
          <w:w w:val="80"/>
          <w:sz w:val="24"/>
          <w:szCs w:val="24"/>
        </w:rPr>
        <w:t>GB</w:t>
      </w:r>
      <w:r>
        <w:rPr>
          <w:rFonts w:eastAsia="標楷體"/>
          <w:w w:val="80"/>
          <w:sz w:val="24"/>
          <w:szCs w:val="24"/>
        </w:rPr>
        <w:t>，本機不支援擴充記憶卡。</w:t>
      </w:r>
    </w:p>
    <w:p w14:paraId="1D27E00B" w14:textId="77777777" w:rsidR="007F3FFA" w:rsidRDefault="00000000">
      <w:pPr>
        <w:pStyle w:val="a8"/>
        <w:numPr>
          <w:ilvl w:val="0"/>
          <w:numId w:val="1"/>
        </w:numPr>
        <w:snapToGrid w:val="0"/>
        <w:spacing w:line="320" w:lineRule="exact"/>
        <w:ind w:left="284"/>
        <w:rPr>
          <w:rFonts w:eastAsia="標楷體"/>
          <w:w w:val="80"/>
          <w:sz w:val="24"/>
          <w:szCs w:val="24"/>
        </w:rPr>
      </w:pPr>
      <w:r>
        <w:rPr>
          <w:rFonts w:eastAsia="標楷體"/>
          <w:w w:val="80"/>
          <w:sz w:val="24"/>
          <w:szCs w:val="24"/>
        </w:rPr>
        <w:t>軍工規格手機、</w:t>
      </w:r>
      <w:r>
        <w:rPr>
          <w:rFonts w:eastAsia="標楷體"/>
          <w:w w:val="80"/>
          <w:sz w:val="24"/>
          <w:szCs w:val="24"/>
        </w:rPr>
        <w:t xml:space="preserve">PDA </w:t>
      </w:r>
      <w:r>
        <w:rPr>
          <w:rFonts w:eastAsia="標楷體"/>
          <w:w w:val="80"/>
          <w:sz w:val="24"/>
          <w:szCs w:val="24"/>
        </w:rPr>
        <w:t>、電信終端設備器材供盤點或物流控制等商業特殊用途或工廠內工業特殊用途者手機，得無須符合視力警語規定，但該產品</w:t>
      </w:r>
      <w:proofErr w:type="gramStart"/>
      <w:r>
        <w:rPr>
          <w:rFonts w:eastAsia="標楷體"/>
          <w:w w:val="80"/>
          <w:sz w:val="24"/>
          <w:szCs w:val="24"/>
        </w:rPr>
        <w:t>不</w:t>
      </w:r>
      <w:proofErr w:type="gramEnd"/>
      <w:r>
        <w:rPr>
          <w:rFonts w:eastAsia="標楷體"/>
          <w:w w:val="80"/>
          <w:sz w:val="24"/>
          <w:szCs w:val="24"/>
        </w:rPr>
        <w:t>販售於一般消費者。</w:t>
      </w:r>
    </w:p>
    <w:p w14:paraId="1DCABF18" w14:textId="77777777" w:rsidR="007F3FFA" w:rsidRDefault="00000000">
      <w:pPr>
        <w:pStyle w:val="a8"/>
        <w:numPr>
          <w:ilvl w:val="0"/>
          <w:numId w:val="1"/>
        </w:numPr>
        <w:snapToGrid w:val="0"/>
        <w:spacing w:line="320" w:lineRule="exact"/>
        <w:ind w:left="284"/>
      </w:pPr>
      <w:r>
        <w:rPr>
          <w:rFonts w:eastAsia="標楷體"/>
          <w:w w:val="80"/>
          <w:sz w:val="24"/>
          <w:szCs w:val="24"/>
        </w:rPr>
        <w:t>申請書及測試報告之器材設備名稱後面未載明包含之無線介面種類，在此聲明無線介面種類如</w:t>
      </w:r>
      <w:r>
        <w:rPr>
          <w:rFonts w:eastAsia="標楷體"/>
          <w:w w:val="80"/>
          <w:sz w:val="24"/>
          <w:szCs w:val="24"/>
        </w:rPr>
        <w:t>:________________________</w:t>
      </w:r>
    </w:p>
    <w:p w14:paraId="0611BEEF" w14:textId="77777777" w:rsidR="007F3FFA" w:rsidRDefault="00000000">
      <w:pPr>
        <w:pStyle w:val="a8"/>
        <w:numPr>
          <w:ilvl w:val="0"/>
          <w:numId w:val="1"/>
        </w:numPr>
        <w:snapToGrid w:val="0"/>
        <w:spacing w:line="320" w:lineRule="exact"/>
        <w:ind w:left="284"/>
        <w:rPr>
          <w:rFonts w:eastAsia="標楷體"/>
          <w:w w:val="80"/>
          <w:sz w:val="24"/>
          <w:szCs w:val="24"/>
        </w:rPr>
      </w:pPr>
      <w:r>
        <w:rPr>
          <w:rFonts w:eastAsia="標楷體"/>
          <w:w w:val="80"/>
          <w:sz w:val="24"/>
          <w:szCs w:val="24"/>
        </w:rPr>
        <w:t>申請廠商須提供切結書宣告該產品</w:t>
      </w:r>
      <w:proofErr w:type="gramStart"/>
      <w:r>
        <w:rPr>
          <w:rFonts w:eastAsia="標楷體"/>
          <w:w w:val="80"/>
          <w:sz w:val="24"/>
          <w:szCs w:val="24"/>
        </w:rPr>
        <w:t>不</w:t>
      </w:r>
      <w:proofErr w:type="gramEnd"/>
      <w:r>
        <w:rPr>
          <w:rFonts w:eastAsia="標楷體"/>
          <w:w w:val="80"/>
          <w:sz w:val="24"/>
          <w:szCs w:val="24"/>
        </w:rPr>
        <w:t>販售於一般消費者。驗證機構於審定證明中備註「本電信終端設備不具備公眾告警廣播簡訊</w:t>
      </w:r>
      <w:r>
        <w:rPr>
          <w:rFonts w:eastAsia="標楷體"/>
          <w:w w:val="80"/>
          <w:sz w:val="24"/>
          <w:szCs w:val="24"/>
        </w:rPr>
        <w:t>(PWS)</w:t>
      </w:r>
      <w:r>
        <w:rPr>
          <w:rFonts w:eastAsia="標楷體"/>
          <w:w w:val="80"/>
          <w:sz w:val="24"/>
          <w:szCs w:val="24"/>
        </w:rPr>
        <w:t>功能，並不得售予一般消費者」</w:t>
      </w:r>
    </w:p>
    <w:p w14:paraId="71D687AD" w14:textId="77777777" w:rsidR="007F3FFA" w:rsidRDefault="00000000">
      <w:pPr>
        <w:pStyle w:val="a8"/>
        <w:numPr>
          <w:ilvl w:val="0"/>
          <w:numId w:val="1"/>
        </w:numPr>
        <w:snapToGrid w:val="0"/>
        <w:spacing w:line="320" w:lineRule="exact"/>
        <w:ind w:left="284"/>
        <w:rPr>
          <w:rFonts w:eastAsia="標楷體"/>
          <w:color w:val="FF0000"/>
          <w:w w:val="80"/>
          <w:sz w:val="24"/>
          <w:szCs w:val="24"/>
        </w:rPr>
      </w:pPr>
      <w:r>
        <w:rPr>
          <w:rFonts w:eastAsia="標楷體"/>
          <w:color w:val="FF0000"/>
          <w:w w:val="80"/>
          <w:sz w:val="24"/>
          <w:szCs w:val="24"/>
        </w:rPr>
        <w:t>本公司擔保產品之製造商，具備管控器材製造過程與製造器材品質之能力。</w:t>
      </w:r>
    </w:p>
    <w:tbl>
      <w:tblPr>
        <w:tblW w:w="9492" w:type="dxa"/>
        <w:tblInd w:w="421" w:type="dxa"/>
        <w:tblCellMar>
          <w:left w:w="10" w:type="dxa"/>
          <w:right w:w="10" w:type="dxa"/>
        </w:tblCellMar>
        <w:tblLook w:val="0000" w:firstRow="0" w:lastRow="0" w:firstColumn="0" w:lastColumn="0" w:noHBand="0" w:noVBand="0"/>
      </w:tblPr>
      <w:tblGrid>
        <w:gridCol w:w="1417"/>
        <w:gridCol w:w="8075"/>
      </w:tblGrid>
      <w:tr w:rsidR="007F3FFA" w14:paraId="5174FFE1" w14:textId="77777777">
        <w:tblPrEx>
          <w:tblCellMar>
            <w:top w:w="0" w:type="dxa"/>
            <w:bottom w:w="0" w:type="dxa"/>
          </w:tblCellMar>
        </w:tblPrEx>
        <w:tc>
          <w:tcPr>
            <w:tcW w:w="141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E1FE22C" w14:textId="77777777" w:rsidR="007F3FFA" w:rsidRDefault="00000000">
            <w:pPr>
              <w:autoSpaceDE w:val="0"/>
              <w:spacing w:line="320" w:lineRule="exact"/>
              <w:textAlignment w:val="auto"/>
            </w:pPr>
            <w:r>
              <w:rPr>
                <w:rFonts w:ascii="Times New Roman" w:eastAsia="標楷體" w:hAnsi="Times New Roman"/>
                <w:w w:val="90"/>
                <w:szCs w:val="24"/>
              </w:rPr>
              <w:t>製造商名稱</w:t>
            </w:r>
            <w:r>
              <w:rPr>
                <w:rFonts w:ascii="Times New Roman" w:eastAsia="標楷體" w:hAnsi="Times New Roman"/>
                <w:w w:val="90"/>
                <w:szCs w:val="24"/>
              </w:rPr>
              <w:t>:</w:t>
            </w:r>
          </w:p>
        </w:tc>
        <w:tc>
          <w:tcPr>
            <w:tcW w:w="8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823C" w14:textId="77777777" w:rsidR="007F3FFA" w:rsidRDefault="007F3FFA">
            <w:pPr>
              <w:autoSpaceDE w:val="0"/>
              <w:spacing w:line="320" w:lineRule="exact"/>
              <w:textAlignment w:val="auto"/>
              <w:rPr>
                <w:rFonts w:ascii="標楷體" w:eastAsia="標楷體" w:hAnsi="標楷體" w:cs="標楷體"/>
                <w:color w:val="000000"/>
                <w:w w:val="90"/>
                <w:kern w:val="0"/>
                <w:szCs w:val="24"/>
              </w:rPr>
            </w:pPr>
          </w:p>
        </w:tc>
      </w:tr>
    </w:tbl>
    <w:p w14:paraId="10892A8A" w14:textId="330AE828" w:rsidR="007F3FFA" w:rsidRDefault="00603444">
      <w:pPr>
        <w:pStyle w:val="a8"/>
        <w:numPr>
          <w:ilvl w:val="0"/>
          <w:numId w:val="1"/>
        </w:numPr>
        <w:snapToGrid w:val="0"/>
        <w:spacing w:line="320" w:lineRule="exact"/>
        <w:ind w:left="284"/>
        <w:jc w:val="both"/>
        <w:rPr>
          <w:rFonts w:eastAsia="標楷體"/>
          <w:color w:val="FF0000"/>
          <w:w w:val="80"/>
          <w:sz w:val="24"/>
          <w:szCs w:val="24"/>
        </w:rPr>
      </w:pPr>
      <w:r>
        <w:rPr>
          <w:rFonts w:ascii="標楷體" w:eastAsia="標楷體" w:hAnsi="標楷體"/>
          <w:w w:val="80"/>
          <w:sz w:val="24"/>
          <w:szCs w:val="24"/>
        </w:rPr>
        <w:t>□</w:t>
      </w:r>
      <w:r>
        <w:rPr>
          <w:rFonts w:ascii="標楷體" w:eastAsia="標楷體" w:hAnsi="標楷體" w:hint="eastAsia"/>
          <w:w w:val="80"/>
          <w:sz w:val="24"/>
          <w:szCs w:val="24"/>
        </w:rPr>
        <w:t xml:space="preserve"> </w:t>
      </w:r>
      <w:r w:rsidR="00000000">
        <w:rPr>
          <w:rFonts w:eastAsia="標楷體"/>
          <w:color w:val="FF0000"/>
          <w:w w:val="80"/>
          <w:sz w:val="24"/>
          <w:szCs w:val="24"/>
        </w:rPr>
        <w:t>本機具</w:t>
      </w:r>
      <w:proofErr w:type="spellStart"/>
      <w:r w:rsidR="00000000">
        <w:rPr>
          <w:rFonts w:eastAsia="標楷體"/>
          <w:color w:val="FF0000"/>
          <w:w w:val="80"/>
          <w:sz w:val="24"/>
          <w:szCs w:val="24"/>
        </w:rPr>
        <w:t>VoTLE</w:t>
      </w:r>
      <w:proofErr w:type="spellEnd"/>
      <w:r w:rsidR="00000000">
        <w:rPr>
          <w:rFonts w:eastAsia="標楷體"/>
          <w:color w:val="FF0000"/>
          <w:w w:val="80"/>
          <w:sz w:val="24"/>
          <w:szCs w:val="24"/>
        </w:rPr>
        <w:t>之電信終端設備，保證每一上市銷售之電信終端設備皆具備</w:t>
      </w:r>
      <w:r w:rsidR="00000000">
        <w:rPr>
          <w:rFonts w:eastAsia="標楷體"/>
          <w:color w:val="FF0000"/>
          <w:w w:val="80"/>
          <w:sz w:val="24"/>
          <w:szCs w:val="24"/>
        </w:rPr>
        <w:t>VoLTE</w:t>
      </w:r>
      <w:r w:rsidR="00000000">
        <w:rPr>
          <w:rFonts w:eastAsia="標楷體"/>
          <w:color w:val="FF0000"/>
          <w:w w:val="80"/>
          <w:sz w:val="24"/>
          <w:szCs w:val="24"/>
        </w:rPr>
        <w:t>功能。</w:t>
      </w:r>
    </w:p>
    <w:p w14:paraId="7931B4C4" w14:textId="6E57A2BC" w:rsidR="007F3FFA" w:rsidRDefault="00603444">
      <w:pPr>
        <w:pStyle w:val="a8"/>
        <w:snapToGrid w:val="0"/>
        <w:spacing w:line="320" w:lineRule="exact"/>
        <w:ind w:left="284"/>
        <w:jc w:val="both"/>
      </w:pPr>
      <w:r>
        <w:rPr>
          <w:rFonts w:ascii="標楷體" w:eastAsia="標楷體" w:hAnsi="標楷體"/>
          <w:w w:val="80"/>
          <w:sz w:val="24"/>
          <w:szCs w:val="24"/>
        </w:rPr>
        <w:t>□</w:t>
      </w:r>
      <w:r w:rsidR="00000000">
        <w:rPr>
          <w:rFonts w:eastAsia="標楷體"/>
          <w:color w:val="FF0000"/>
          <w:w w:val="80"/>
          <w:sz w:val="24"/>
          <w:szCs w:val="24"/>
        </w:rPr>
        <w:t xml:space="preserve"> </w:t>
      </w:r>
      <w:r w:rsidR="00000000">
        <w:rPr>
          <w:rFonts w:eastAsia="標楷體"/>
          <w:color w:val="FF0000"/>
          <w:w w:val="80"/>
          <w:sz w:val="24"/>
          <w:szCs w:val="24"/>
        </w:rPr>
        <w:t>本機不具</w:t>
      </w:r>
      <w:proofErr w:type="spellStart"/>
      <w:r w:rsidR="00000000">
        <w:rPr>
          <w:rFonts w:eastAsia="標楷體"/>
          <w:color w:val="FF0000"/>
          <w:w w:val="80"/>
          <w:sz w:val="24"/>
          <w:szCs w:val="24"/>
        </w:rPr>
        <w:t>VoTLE</w:t>
      </w:r>
      <w:proofErr w:type="spellEnd"/>
      <w:r w:rsidR="00000000">
        <w:rPr>
          <w:rFonts w:eastAsia="標楷體"/>
          <w:color w:val="FF0000"/>
          <w:w w:val="80"/>
          <w:sz w:val="24"/>
          <w:szCs w:val="24"/>
        </w:rPr>
        <w:t>之電信終端設備。</w:t>
      </w:r>
    </w:p>
    <w:p w14:paraId="02F0ABBB" w14:textId="77777777" w:rsidR="007F3FFA" w:rsidRDefault="00000000">
      <w:pPr>
        <w:pStyle w:val="a8"/>
        <w:numPr>
          <w:ilvl w:val="0"/>
          <w:numId w:val="1"/>
        </w:numPr>
        <w:snapToGrid w:val="0"/>
        <w:spacing w:line="320" w:lineRule="exact"/>
        <w:ind w:left="284"/>
        <w:rPr>
          <w:rFonts w:eastAsia="標楷體"/>
          <w:w w:val="80"/>
          <w:sz w:val="24"/>
          <w:szCs w:val="24"/>
        </w:rPr>
      </w:pPr>
      <w:r>
        <w:rPr>
          <w:rFonts w:eastAsia="標楷體"/>
          <w:w w:val="80"/>
          <w:sz w:val="24"/>
          <w:szCs w:val="24"/>
        </w:rPr>
        <w:t>於廣告文宣、設備外包裝及使用說明書等標示資訊，如大螢幕、大字幕、大按鍵、大</w:t>
      </w:r>
      <w:r>
        <w:rPr>
          <w:rFonts w:eastAsia="標楷體"/>
          <w:w w:val="80"/>
          <w:sz w:val="24"/>
          <w:szCs w:val="24"/>
        </w:rPr>
        <w:t>Icon</w:t>
      </w:r>
      <w:r>
        <w:rPr>
          <w:rFonts w:eastAsia="標楷體"/>
          <w:w w:val="80"/>
          <w:sz w:val="24"/>
          <w:szCs w:val="24"/>
        </w:rPr>
        <w:t>、大鈴聲、</w:t>
      </w:r>
      <w:r>
        <w:rPr>
          <w:rFonts w:eastAsia="標楷體"/>
          <w:w w:val="80"/>
          <w:sz w:val="24"/>
          <w:szCs w:val="24"/>
        </w:rPr>
        <w:t>SOS</w:t>
      </w:r>
      <w:r>
        <w:rPr>
          <w:rFonts w:eastAsia="標楷體"/>
          <w:w w:val="80"/>
          <w:sz w:val="24"/>
          <w:szCs w:val="24"/>
        </w:rPr>
        <w:t>緊急求救鍵等，以避免消費爭議。</w:t>
      </w:r>
    </w:p>
    <w:p w14:paraId="65F8E765" w14:textId="77777777" w:rsidR="007F3FFA" w:rsidRDefault="00000000">
      <w:pPr>
        <w:pStyle w:val="a8"/>
        <w:numPr>
          <w:ilvl w:val="0"/>
          <w:numId w:val="1"/>
        </w:numPr>
        <w:snapToGrid w:val="0"/>
        <w:spacing w:line="320" w:lineRule="exact"/>
        <w:ind w:left="284"/>
        <w:jc w:val="both"/>
      </w:pPr>
      <w:r>
        <w:rPr>
          <w:rFonts w:eastAsia="標楷體"/>
          <w:w w:val="80"/>
          <w:sz w:val="24"/>
          <w:szCs w:val="24"/>
        </w:rPr>
        <w:t>申請變更審驗證明之器材名稱，於器材之說明書及包裝盒提供變更器材名稱之前後差異等充分與正確之資訊。</w:t>
      </w:r>
    </w:p>
    <w:p w14:paraId="18D1EBF5" w14:textId="77777777" w:rsidR="007F3FFA" w:rsidRDefault="00000000">
      <w:pPr>
        <w:pStyle w:val="a8"/>
        <w:snapToGrid w:val="0"/>
        <w:spacing w:before="163" w:after="163" w:line="260" w:lineRule="exact"/>
        <w:ind w:left="284" w:right="-1"/>
        <w:jc w:val="both"/>
        <w:rPr>
          <w:rFonts w:eastAsia="標楷體"/>
          <w:sz w:val="24"/>
          <w:szCs w:val="24"/>
        </w:rPr>
      </w:pPr>
      <w:r>
        <w:rPr>
          <w:rFonts w:eastAsia="標楷體"/>
          <w:sz w:val="24"/>
          <w:szCs w:val="24"/>
        </w:rPr>
        <w:t>立切結書人保證以上事項，如有違反切結事項，依電信終端</w:t>
      </w:r>
      <w:proofErr w:type="gramStart"/>
      <w:r>
        <w:rPr>
          <w:rFonts w:eastAsia="標楷體"/>
          <w:sz w:val="24"/>
          <w:szCs w:val="24"/>
        </w:rPr>
        <w:t>設備審驗管理</w:t>
      </w:r>
      <w:proofErr w:type="gramEnd"/>
      <w:r>
        <w:rPr>
          <w:rFonts w:eastAsia="標楷體"/>
          <w:sz w:val="24"/>
          <w:szCs w:val="24"/>
        </w:rPr>
        <w:t>辦法第</w:t>
      </w:r>
      <w:r>
        <w:rPr>
          <w:rFonts w:eastAsia="標楷體"/>
          <w:sz w:val="24"/>
          <w:szCs w:val="24"/>
        </w:rPr>
        <w:t>19</w:t>
      </w:r>
      <w:r>
        <w:rPr>
          <w:rFonts w:eastAsia="標楷體"/>
          <w:sz w:val="24"/>
          <w:szCs w:val="24"/>
        </w:rPr>
        <w:t>條第</w:t>
      </w:r>
      <w:r>
        <w:rPr>
          <w:rFonts w:eastAsia="標楷體"/>
          <w:sz w:val="24"/>
          <w:szCs w:val="24"/>
        </w:rPr>
        <w:t>3</w:t>
      </w:r>
      <w:r>
        <w:rPr>
          <w:rFonts w:eastAsia="標楷體"/>
          <w:sz w:val="24"/>
          <w:szCs w:val="24"/>
        </w:rPr>
        <w:t>項第</w:t>
      </w:r>
      <w:r>
        <w:rPr>
          <w:rFonts w:eastAsia="標楷體"/>
          <w:sz w:val="24"/>
          <w:szCs w:val="24"/>
        </w:rPr>
        <w:t>8</w:t>
      </w:r>
      <w:r>
        <w:rPr>
          <w:rFonts w:eastAsia="標楷體"/>
          <w:sz w:val="24"/>
          <w:szCs w:val="24"/>
        </w:rPr>
        <w:t>款規定，經主管機關或原驗證機構限期改正，屆期未改正時，願由主管機關或原驗證機構廢止審驗證明，並願承擔一切法律責任，絕無異議，特立此切結書為</w:t>
      </w:r>
      <w:proofErr w:type="gramStart"/>
      <w:r>
        <w:rPr>
          <w:rFonts w:eastAsia="標楷體"/>
          <w:sz w:val="24"/>
          <w:szCs w:val="24"/>
        </w:rPr>
        <w:t>憑</w:t>
      </w:r>
      <w:proofErr w:type="gramEnd"/>
      <w:r>
        <w:rPr>
          <w:rFonts w:eastAsia="標楷體"/>
          <w:sz w:val="24"/>
          <w:szCs w:val="24"/>
        </w:rPr>
        <w:t>。</w:t>
      </w:r>
    </w:p>
    <w:p w14:paraId="4855CD73" w14:textId="77777777" w:rsidR="007F3FFA" w:rsidRDefault="00000000">
      <w:pPr>
        <w:pStyle w:val="a8"/>
        <w:snapToGrid w:val="0"/>
        <w:spacing w:before="163" w:after="163" w:line="260" w:lineRule="exact"/>
        <w:ind w:left="284" w:right="-1"/>
        <w:jc w:val="both"/>
        <w:rPr>
          <w:rFonts w:eastAsia="標楷體"/>
          <w:sz w:val="24"/>
          <w:szCs w:val="24"/>
        </w:rPr>
      </w:pPr>
      <w:r>
        <w:rPr>
          <w:rFonts w:eastAsia="標楷體"/>
          <w:sz w:val="24"/>
          <w:szCs w:val="24"/>
        </w:rPr>
        <w:t>立切結書人</w:t>
      </w:r>
    </w:p>
    <w:p w14:paraId="1EB79E81" w14:textId="053D2549" w:rsidR="007F3FFA" w:rsidRDefault="00000000">
      <w:pPr>
        <w:pStyle w:val="a8"/>
        <w:snapToGrid w:val="0"/>
        <w:spacing w:before="163" w:after="163" w:line="260" w:lineRule="exact"/>
        <w:ind w:left="284" w:right="-1"/>
        <w:jc w:val="both"/>
      </w:pPr>
      <w:r>
        <w:rPr>
          <w:rFonts w:eastAsia="標楷體"/>
          <w:sz w:val="24"/>
          <w:szCs w:val="24"/>
        </w:rPr>
        <w:t>公司、商號、本國自然人名稱</w:t>
      </w:r>
      <w:r>
        <w:rPr>
          <w:rFonts w:eastAsia="標楷體"/>
          <w:sz w:val="24"/>
          <w:szCs w:val="24"/>
        </w:rPr>
        <w:t>(</w:t>
      </w:r>
      <w:r w:rsidR="00287A18" w:rsidRPr="00287A18">
        <w:rPr>
          <w:rFonts w:eastAsia="標楷體" w:hint="eastAsia"/>
          <w:color w:val="FF0000"/>
          <w:sz w:val="24"/>
          <w:szCs w:val="24"/>
        </w:rPr>
        <w:t>持</w:t>
      </w:r>
      <w:r>
        <w:rPr>
          <w:rFonts w:eastAsia="標楷體"/>
          <w:color w:val="FF0000"/>
          <w:sz w:val="24"/>
          <w:szCs w:val="24"/>
        </w:rPr>
        <w:t>證者</w:t>
      </w:r>
      <w:r>
        <w:rPr>
          <w:rFonts w:eastAsia="標楷體"/>
          <w:sz w:val="24"/>
          <w:szCs w:val="24"/>
        </w:rPr>
        <w:t>)</w:t>
      </w:r>
      <w:r>
        <w:rPr>
          <w:rFonts w:eastAsia="標楷體"/>
          <w:sz w:val="24"/>
          <w:szCs w:val="24"/>
        </w:rPr>
        <w:t>：</w:t>
      </w:r>
    </w:p>
    <w:p w14:paraId="054879A8" w14:textId="77777777" w:rsidR="007F3FFA" w:rsidRDefault="00000000">
      <w:pPr>
        <w:pStyle w:val="a8"/>
        <w:snapToGrid w:val="0"/>
        <w:spacing w:before="163" w:after="163" w:line="260" w:lineRule="exact"/>
        <w:ind w:left="284" w:right="-1"/>
        <w:jc w:val="both"/>
        <w:rPr>
          <w:rFonts w:eastAsia="標楷體"/>
          <w:sz w:val="24"/>
          <w:szCs w:val="24"/>
        </w:rPr>
      </w:pPr>
      <w:r>
        <w:rPr>
          <w:rFonts w:eastAsia="標楷體"/>
          <w:sz w:val="24"/>
          <w:szCs w:val="24"/>
        </w:rPr>
        <w:t>負責人或經授權之管理人簽章：</w:t>
      </w:r>
    </w:p>
    <w:p w14:paraId="486FDDC0" w14:textId="77777777" w:rsidR="007F3FFA" w:rsidRDefault="00000000">
      <w:pPr>
        <w:pStyle w:val="a8"/>
        <w:snapToGrid w:val="0"/>
        <w:spacing w:before="163" w:after="163" w:line="260" w:lineRule="exact"/>
        <w:ind w:left="284" w:right="-1"/>
        <w:jc w:val="both"/>
      </w:pPr>
      <w:r>
        <w:rPr>
          <w:rFonts w:eastAsia="標楷體"/>
          <w:color w:val="FF0000"/>
          <w:sz w:val="24"/>
          <w:szCs w:val="24"/>
        </w:rPr>
        <w:t>公司統一編號</w:t>
      </w:r>
      <w:r>
        <w:rPr>
          <w:rFonts w:eastAsia="標楷體"/>
          <w:color w:val="FF0000"/>
          <w:sz w:val="24"/>
          <w:szCs w:val="24"/>
        </w:rPr>
        <w:t>(</w:t>
      </w:r>
      <w:r>
        <w:rPr>
          <w:rFonts w:eastAsia="標楷體"/>
          <w:color w:val="FF0000"/>
          <w:sz w:val="24"/>
          <w:szCs w:val="24"/>
        </w:rPr>
        <w:t>或身分證字號，外國人為國籍與護照號碼</w:t>
      </w:r>
      <w:r>
        <w:rPr>
          <w:rFonts w:eastAsia="標楷體"/>
          <w:color w:val="FF0000"/>
          <w:sz w:val="24"/>
          <w:szCs w:val="24"/>
        </w:rPr>
        <w:t>)</w:t>
      </w:r>
      <w:r>
        <w:rPr>
          <w:rFonts w:eastAsia="標楷體"/>
          <w:sz w:val="24"/>
          <w:szCs w:val="24"/>
        </w:rPr>
        <w:t>：</w:t>
      </w:r>
    </w:p>
    <w:p w14:paraId="069ADFAD" w14:textId="77777777" w:rsidR="007F3FFA" w:rsidRDefault="00000000">
      <w:pPr>
        <w:pStyle w:val="a8"/>
        <w:snapToGrid w:val="0"/>
        <w:spacing w:before="163" w:after="163" w:line="260" w:lineRule="exact"/>
        <w:ind w:left="284" w:right="-1"/>
        <w:jc w:val="both"/>
        <w:rPr>
          <w:rFonts w:eastAsia="標楷體"/>
          <w:sz w:val="24"/>
          <w:szCs w:val="24"/>
        </w:rPr>
      </w:pPr>
      <w:r>
        <w:rPr>
          <w:rFonts w:eastAsia="標楷體"/>
          <w:sz w:val="24"/>
          <w:szCs w:val="24"/>
        </w:rPr>
        <w:t>營業所地址</w:t>
      </w:r>
      <w:r>
        <w:rPr>
          <w:rFonts w:eastAsia="標楷體"/>
          <w:sz w:val="24"/>
          <w:szCs w:val="24"/>
        </w:rPr>
        <w:t>(</w:t>
      </w:r>
      <w:r>
        <w:rPr>
          <w:rFonts w:eastAsia="標楷體"/>
          <w:sz w:val="24"/>
          <w:szCs w:val="24"/>
        </w:rPr>
        <w:t>或戶籍地址</w:t>
      </w:r>
      <w:r>
        <w:rPr>
          <w:rFonts w:eastAsia="標楷體"/>
          <w:sz w:val="24"/>
          <w:szCs w:val="24"/>
        </w:rPr>
        <w:t>)</w:t>
      </w:r>
      <w:r>
        <w:rPr>
          <w:rFonts w:eastAsia="標楷體"/>
          <w:sz w:val="24"/>
          <w:szCs w:val="24"/>
        </w:rPr>
        <w:t>：</w:t>
      </w:r>
    </w:p>
    <w:p w14:paraId="7E83A9EA" w14:textId="77777777" w:rsidR="007F3FFA" w:rsidRDefault="00000000">
      <w:pPr>
        <w:jc w:val="right"/>
      </w:pPr>
      <w:r>
        <w:rPr>
          <w:rFonts w:ascii="Times New Roman" w:eastAsia="標楷體" w:hAnsi="Times New Roman"/>
          <w:szCs w:val="24"/>
        </w:rPr>
        <w:t xml:space="preserve"> (</w:t>
      </w:r>
      <w:r>
        <w:rPr>
          <w:rFonts w:ascii="Times New Roman" w:eastAsia="標楷體" w:hAnsi="Times New Roman"/>
          <w:szCs w:val="24"/>
        </w:rPr>
        <w:t>法人須加蓋公司大小章或機關關防</w:t>
      </w:r>
      <w:r>
        <w:rPr>
          <w:rFonts w:ascii="Times New Roman" w:eastAsia="標楷體" w:hAnsi="Times New Roman"/>
          <w:szCs w:val="24"/>
        </w:rPr>
        <w:t>)</w:t>
      </w:r>
    </w:p>
    <w:p w14:paraId="1C1A6D72" w14:textId="77777777" w:rsidR="007F3FFA" w:rsidRDefault="00000000" w:rsidP="0072282D">
      <w:pPr>
        <w:pStyle w:val="a8"/>
        <w:snapToGrid w:val="0"/>
        <w:spacing w:before="163" w:after="163" w:line="260" w:lineRule="exact"/>
        <w:ind w:left="284" w:right="-1"/>
        <w:jc w:val="distribute"/>
      </w:pPr>
      <w:r>
        <w:rPr>
          <w:rFonts w:eastAsia="標楷體"/>
          <w:color w:val="000000"/>
          <w:w w:val="80"/>
          <w:sz w:val="28"/>
          <w:szCs w:val="28"/>
        </w:rPr>
        <w:t>中華民國</w:t>
      </w:r>
      <w:r>
        <w:rPr>
          <w:rFonts w:eastAsia="標楷體"/>
          <w:color w:val="000000"/>
          <w:w w:val="80"/>
          <w:sz w:val="28"/>
          <w:szCs w:val="28"/>
          <w:shd w:val="clear" w:color="auto" w:fill="FFFF00"/>
        </w:rPr>
        <w:t>XXX</w:t>
      </w:r>
      <w:r>
        <w:rPr>
          <w:rFonts w:eastAsia="標楷體"/>
          <w:color w:val="000000"/>
          <w:w w:val="80"/>
          <w:sz w:val="28"/>
          <w:szCs w:val="28"/>
        </w:rPr>
        <w:t>年</w:t>
      </w:r>
      <w:r>
        <w:rPr>
          <w:rFonts w:eastAsia="標楷體"/>
          <w:color w:val="000000"/>
          <w:w w:val="80"/>
          <w:sz w:val="28"/>
          <w:szCs w:val="28"/>
          <w:shd w:val="clear" w:color="auto" w:fill="FFFF00"/>
        </w:rPr>
        <w:t>XX</w:t>
      </w:r>
      <w:r>
        <w:rPr>
          <w:rFonts w:eastAsia="標楷體"/>
          <w:color w:val="000000"/>
          <w:w w:val="80"/>
          <w:sz w:val="28"/>
          <w:szCs w:val="28"/>
        </w:rPr>
        <w:t>月</w:t>
      </w:r>
      <w:r>
        <w:rPr>
          <w:rFonts w:eastAsia="標楷體"/>
          <w:color w:val="000000"/>
          <w:w w:val="80"/>
          <w:sz w:val="28"/>
          <w:szCs w:val="28"/>
          <w:shd w:val="clear" w:color="auto" w:fill="FFFF00"/>
        </w:rPr>
        <w:t>XX</w:t>
      </w:r>
      <w:r>
        <w:rPr>
          <w:rFonts w:eastAsia="標楷體"/>
          <w:color w:val="000000"/>
          <w:w w:val="80"/>
          <w:sz w:val="28"/>
          <w:szCs w:val="28"/>
        </w:rPr>
        <w:t>日</w:t>
      </w:r>
      <w:r>
        <w:rPr>
          <w:rFonts w:eastAsia="標楷體"/>
          <w:w w:val="80"/>
          <w:sz w:val="28"/>
          <w:szCs w:val="28"/>
        </w:rPr>
        <w:t xml:space="preserve"> </w:t>
      </w:r>
    </w:p>
    <w:sectPr w:rsidR="007F3FFA">
      <w:headerReference w:type="default" r:id="rId7"/>
      <w:footerReference w:type="default" r:id="rId8"/>
      <w:pgSz w:w="12240" w:h="15840"/>
      <w:pgMar w:top="1440" w:right="758" w:bottom="993" w:left="851" w:header="680" w:footer="611" w:gutter="0"/>
      <w:cols w:space="720"/>
      <w:docGrid w:type="lines" w:linePitch="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61054" w14:textId="77777777" w:rsidR="001A6344" w:rsidRDefault="001A6344">
      <w:r>
        <w:separator/>
      </w:r>
    </w:p>
  </w:endnote>
  <w:endnote w:type="continuationSeparator" w:id="0">
    <w:p w14:paraId="793F96AB" w14:textId="77777777" w:rsidR="001A6344" w:rsidRDefault="001A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48DD" w14:textId="77777777" w:rsidR="00000000" w:rsidRDefault="00000000">
    <w:pPr>
      <w:pStyle w:val="a6"/>
      <w:jc w:val="center"/>
    </w:pPr>
    <w:r>
      <w:rPr>
        <w:rFonts w:ascii="Times New Roman" w:eastAsia="標楷體" w:hAnsi="Times New Roman"/>
        <w:sz w:val="18"/>
        <w:szCs w:val="18"/>
      </w:rPr>
      <w:t xml:space="preserve">Page </w:t>
    </w:r>
    <w:r>
      <w:rPr>
        <w:rFonts w:ascii="Times New Roman" w:eastAsia="標楷體" w:hAnsi="Times New Roman"/>
        <w:b/>
        <w:bCs/>
        <w:sz w:val="18"/>
        <w:szCs w:val="18"/>
      </w:rPr>
      <w:fldChar w:fldCharType="begin"/>
    </w:r>
    <w:r>
      <w:rPr>
        <w:rFonts w:ascii="Times New Roman" w:eastAsia="標楷體" w:hAnsi="Times New Roman"/>
        <w:b/>
        <w:bCs/>
        <w:sz w:val="18"/>
        <w:szCs w:val="18"/>
      </w:rPr>
      <w:instrText xml:space="preserve"> PAGE </w:instrText>
    </w:r>
    <w:r>
      <w:rPr>
        <w:rFonts w:ascii="Times New Roman" w:eastAsia="標楷體" w:hAnsi="Times New Roman"/>
        <w:b/>
        <w:bCs/>
        <w:sz w:val="18"/>
        <w:szCs w:val="18"/>
      </w:rPr>
      <w:fldChar w:fldCharType="separate"/>
    </w:r>
    <w:r>
      <w:rPr>
        <w:rFonts w:ascii="Times New Roman" w:eastAsia="標楷體" w:hAnsi="Times New Roman"/>
        <w:b/>
        <w:bCs/>
        <w:sz w:val="18"/>
        <w:szCs w:val="18"/>
      </w:rPr>
      <w:t>1</w:t>
    </w:r>
    <w:r>
      <w:rPr>
        <w:rFonts w:ascii="Times New Roman" w:eastAsia="標楷體" w:hAnsi="Times New Roman"/>
        <w:b/>
        <w:bCs/>
        <w:sz w:val="18"/>
        <w:szCs w:val="18"/>
      </w:rPr>
      <w:fldChar w:fldCharType="end"/>
    </w:r>
    <w:r>
      <w:rPr>
        <w:rFonts w:ascii="Times New Roman" w:eastAsia="標楷體" w:hAnsi="Times New Roman"/>
        <w:sz w:val="18"/>
        <w:szCs w:val="18"/>
        <w:lang w:val="zh-TW"/>
      </w:rPr>
      <w:t xml:space="preserve"> </w:t>
    </w:r>
    <w:r>
      <w:rPr>
        <w:rFonts w:ascii="Times New Roman" w:eastAsia="標楷體" w:hAnsi="Times New Roman"/>
        <w:sz w:val="18"/>
        <w:szCs w:val="18"/>
        <w:lang w:val="zh-TW"/>
      </w:rPr>
      <w:t xml:space="preserve">of </w:t>
    </w:r>
    <w:r>
      <w:rPr>
        <w:rFonts w:ascii="Times New Roman" w:eastAsia="標楷體" w:hAnsi="Times New Roman"/>
        <w:b/>
        <w:bCs/>
        <w:sz w:val="18"/>
        <w:szCs w:val="18"/>
      </w:rPr>
      <w:fldChar w:fldCharType="begin"/>
    </w:r>
    <w:r>
      <w:rPr>
        <w:rFonts w:ascii="Times New Roman" w:eastAsia="標楷體" w:hAnsi="Times New Roman"/>
        <w:b/>
        <w:bCs/>
        <w:sz w:val="18"/>
        <w:szCs w:val="18"/>
      </w:rPr>
      <w:instrText xml:space="preserve"> NUMPAGES </w:instrText>
    </w:r>
    <w:r>
      <w:rPr>
        <w:rFonts w:ascii="Times New Roman" w:eastAsia="標楷體" w:hAnsi="Times New Roman"/>
        <w:b/>
        <w:bCs/>
        <w:sz w:val="18"/>
        <w:szCs w:val="18"/>
      </w:rPr>
      <w:fldChar w:fldCharType="separate"/>
    </w:r>
    <w:r>
      <w:rPr>
        <w:rFonts w:ascii="Times New Roman" w:eastAsia="標楷體" w:hAnsi="Times New Roman"/>
        <w:b/>
        <w:bCs/>
        <w:sz w:val="18"/>
        <w:szCs w:val="18"/>
      </w:rPr>
      <w:t>1</w:t>
    </w:r>
    <w:r>
      <w:rPr>
        <w:rFonts w:ascii="Times New Roman" w:eastAsia="標楷體" w:hAnsi="Times New Roman"/>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31AC5" w14:textId="77777777" w:rsidR="001A6344" w:rsidRDefault="001A6344">
      <w:r>
        <w:rPr>
          <w:color w:val="000000"/>
        </w:rPr>
        <w:separator/>
      </w:r>
    </w:p>
  </w:footnote>
  <w:footnote w:type="continuationSeparator" w:id="0">
    <w:p w14:paraId="4DAF6E7D" w14:textId="77777777" w:rsidR="001A6344" w:rsidRDefault="001A6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2F438" w14:textId="77777777" w:rsidR="00000000" w:rsidRDefault="00000000">
    <w:pPr>
      <w:pStyle w:val="a4"/>
      <w:jc w:val="center"/>
    </w:pPr>
    <w:r>
      <w:rPr>
        <w:rFonts w:ascii="標楷體" w:eastAsia="標楷體" w:hAnsi="標楷體"/>
        <w:sz w:val="48"/>
        <w:szCs w:val="48"/>
      </w:rPr>
      <w:t>電信終端設備切結書(軍工類產品)</w:t>
    </w:r>
  </w:p>
  <w:p w14:paraId="715FD30B" w14:textId="77777777" w:rsidR="00000000"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97CB9"/>
    <w:multiLevelType w:val="multilevel"/>
    <w:tmpl w:val="2A1A8AB2"/>
    <w:lvl w:ilvl="0">
      <w:start w:val="1"/>
      <w:numFmt w:val="decimal"/>
      <w:lvlText w:val="%1."/>
      <w:lvlJc w:val="left"/>
      <w:pPr>
        <w:ind w:left="-265" w:hanging="360"/>
      </w:pPr>
      <w:rPr>
        <w:color w:val="auto"/>
        <w:w w:val="80"/>
        <w:sz w:val="24"/>
        <w:szCs w:val="24"/>
      </w:rPr>
    </w:lvl>
    <w:lvl w:ilvl="1">
      <w:start w:val="1"/>
      <w:numFmt w:val="ideographTraditional"/>
      <w:lvlText w:val="%2、"/>
      <w:lvlJc w:val="left"/>
      <w:pPr>
        <w:ind w:left="335" w:hanging="480"/>
      </w:pPr>
    </w:lvl>
    <w:lvl w:ilvl="2">
      <w:start w:val="1"/>
      <w:numFmt w:val="lowerRoman"/>
      <w:lvlText w:val="%3."/>
      <w:lvlJc w:val="right"/>
      <w:pPr>
        <w:ind w:left="815" w:hanging="480"/>
      </w:pPr>
    </w:lvl>
    <w:lvl w:ilvl="3">
      <w:start w:val="1"/>
      <w:numFmt w:val="decimal"/>
      <w:lvlText w:val="%4."/>
      <w:lvlJc w:val="left"/>
      <w:pPr>
        <w:ind w:left="1295" w:hanging="480"/>
      </w:pPr>
    </w:lvl>
    <w:lvl w:ilvl="4">
      <w:start w:val="1"/>
      <w:numFmt w:val="ideographTraditional"/>
      <w:lvlText w:val="%5、"/>
      <w:lvlJc w:val="left"/>
      <w:pPr>
        <w:ind w:left="1775" w:hanging="480"/>
      </w:pPr>
    </w:lvl>
    <w:lvl w:ilvl="5">
      <w:start w:val="1"/>
      <w:numFmt w:val="lowerRoman"/>
      <w:lvlText w:val="%6."/>
      <w:lvlJc w:val="right"/>
      <w:pPr>
        <w:ind w:left="2255" w:hanging="480"/>
      </w:pPr>
    </w:lvl>
    <w:lvl w:ilvl="6">
      <w:start w:val="1"/>
      <w:numFmt w:val="decimal"/>
      <w:lvlText w:val="%7."/>
      <w:lvlJc w:val="left"/>
      <w:pPr>
        <w:ind w:left="2735" w:hanging="480"/>
      </w:pPr>
    </w:lvl>
    <w:lvl w:ilvl="7">
      <w:start w:val="1"/>
      <w:numFmt w:val="ideographTraditional"/>
      <w:lvlText w:val="%8、"/>
      <w:lvlJc w:val="left"/>
      <w:pPr>
        <w:ind w:left="3215" w:hanging="480"/>
      </w:pPr>
    </w:lvl>
    <w:lvl w:ilvl="8">
      <w:start w:val="1"/>
      <w:numFmt w:val="lowerRoman"/>
      <w:lvlText w:val="%9."/>
      <w:lvlJc w:val="right"/>
      <w:pPr>
        <w:ind w:left="3695" w:hanging="480"/>
      </w:pPr>
    </w:lvl>
  </w:abstractNum>
  <w:num w:numId="1" w16cid:durableId="1018654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F3FFA"/>
    <w:rsid w:val="001A6344"/>
    <w:rsid w:val="00287A18"/>
    <w:rsid w:val="00603444"/>
    <w:rsid w:val="0072282D"/>
    <w:rsid w:val="007F3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8F81"/>
  <w15:docId w15:val="{C475F116-68C5-4588-B1EB-17B419BC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ody Text"/>
    <w:basedOn w:val="a"/>
    <w:pPr>
      <w:spacing w:line="600" w:lineRule="exact"/>
    </w:pPr>
    <w:rPr>
      <w:rFonts w:ascii="Times New Roman" w:hAnsi="Times New Roman"/>
      <w:sz w:val="36"/>
      <w:szCs w:val="36"/>
    </w:rPr>
  </w:style>
  <w:style w:type="character" w:customStyle="1" w:styleId="a9">
    <w:name w:val="本文 字元"/>
    <w:basedOn w:val="a0"/>
    <w:rPr>
      <w:rFonts w:ascii="Times New Roman" w:eastAsia="新細明體" w:hAnsi="Times New Roman" w:cs="Times New Roman"/>
      <w:sz w:val="36"/>
      <w:szCs w:val="36"/>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styleId="af">
    <w:name w:val="Balloon Text"/>
    <w:basedOn w:val="a"/>
    <w:rPr>
      <w:rFonts w:ascii="Calibri Light" w:hAnsi="Calibri Light"/>
      <w:sz w:val="18"/>
      <w:szCs w:val="18"/>
    </w:rPr>
  </w:style>
  <w:style w:type="character" w:customStyle="1" w:styleId="af0">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BACL 汐止 Alpha Liu劉中流</cp:lastModifiedBy>
  <cp:revision>4</cp:revision>
  <cp:lastPrinted>2018-01-15T02:44:00Z</cp:lastPrinted>
  <dcterms:created xsi:type="dcterms:W3CDTF">2024-05-08T09:01:00Z</dcterms:created>
  <dcterms:modified xsi:type="dcterms:W3CDTF">2024-05-08T09:02:00Z</dcterms:modified>
</cp:coreProperties>
</file>